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优秀总监理工程师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  表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(XXX年度)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申报单位（签章）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申  报  时  间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广西建设监理协会制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优秀总监理工程师申报表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36"/>
        <w:gridCol w:w="1564"/>
        <w:gridCol w:w="1704"/>
        <w:gridCol w:w="153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监理工作时间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注册证书号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担任总监年限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任职期间获奖工程数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近3年监理的工程数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参加监理工作的简历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Cs/>
          <w:szCs w:val="21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担任总监理工程师期间获奖的工程项目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工程项目名称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工程项目地点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合同工期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实际工期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工程概算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竣工决算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该工程获奖项名称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证明部门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工程监理内容及效果：（文字描述500字以内）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b/>
          <w:spacing w:val="32"/>
          <w:sz w:val="32"/>
          <w:szCs w:val="28"/>
        </w:rPr>
      </w:pPr>
      <w:r>
        <w:rPr>
          <w:rFonts w:hint="eastAsia"/>
          <w:b/>
          <w:spacing w:val="32"/>
          <w:sz w:val="32"/>
          <w:szCs w:val="28"/>
        </w:rPr>
        <w:t>担任总监理工程师近三年监理的代表性工程项目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324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四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企业意见：</w:t>
            </w: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ind w:firstLine="4128" w:firstLineChars="1200"/>
              <w:rPr>
                <w:rFonts w:hint="eastAsia"/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广西建设监理协会意见：</w:t>
            </w: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tabs>
                <w:tab w:val="left" w:pos="5400"/>
                <w:tab w:val="left" w:pos="6660"/>
              </w:tabs>
              <w:ind w:firstLine="4128" w:firstLineChars="1200"/>
              <w:rPr>
                <w:rFonts w:hint="eastAsia"/>
                <w:b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</w:tbl>
    <w:p>
      <w:pPr>
        <w:spacing w:line="360" w:lineRule="auto"/>
        <w:ind w:firstLine="539"/>
        <w:rPr>
          <w:rFonts w:hint="eastAsia" w:ascii="宋体" w:hAnsi="宋体"/>
          <w:color w:val="000000"/>
          <w:spacing w:val="-8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79B1"/>
    <w:rsid w:val="2EAC02DE"/>
    <w:rsid w:val="6F2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2019-12-24T07:55:00Z</dcterms:created>
  <dc:creator>菁菁</dc:creator>
  <cp:lastModifiedBy>菁菁</cp:lastModifiedBy>
  <dcterms:modified xsi:type="dcterms:W3CDTF">2019-12-24T07:56:53Z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